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0D" w:rsidRDefault="00E30A0D" w:rsidP="00895BE9">
      <w:pPr>
        <w:pStyle w:val="NormalWeb"/>
      </w:pPr>
    </w:p>
    <w:p w:rsidR="00E30A0D" w:rsidRPr="00E30A0D" w:rsidRDefault="00E30A0D" w:rsidP="00895BE9">
      <w:pPr>
        <w:pStyle w:val="NormalWeb"/>
        <w:rPr>
          <w:b/>
          <w:sz w:val="32"/>
          <w:szCs w:val="32"/>
        </w:rPr>
      </w:pPr>
      <w:r>
        <w:rPr>
          <w:b/>
          <w:sz w:val="32"/>
          <w:szCs w:val="32"/>
        </w:rPr>
        <w:t xml:space="preserve">                                       </w:t>
      </w:r>
      <w:r w:rsidRPr="00E30A0D">
        <w:rPr>
          <w:b/>
          <w:sz w:val="32"/>
          <w:szCs w:val="32"/>
        </w:rPr>
        <w:t>La joie de l’évangile</w:t>
      </w:r>
    </w:p>
    <w:p w:rsidR="00E30A0D" w:rsidRDefault="00E30A0D" w:rsidP="00895BE9">
      <w:pPr>
        <w:pStyle w:val="NormalWeb"/>
      </w:pPr>
    </w:p>
    <w:p w:rsidR="00895BE9" w:rsidRDefault="00895BE9" w:rsidP="00895BE9">
      <w:pPr>
        <w:pStyle w:val="NormalWeb"/>
      </w:pPr>
      <w:r>
        <w:t>41. En même temps, les énormes et rapides changements culturels demandent que nous prêtions une constante attention pour chercher à exprimer la vérité de toujours dans un langage qui permette de reconnaître sa permanente nouveauté. Car, dans le dépôt de la doctrine chrétienne « une chose est la substance […] et une autre la manière de formuler son expression ». Parfois, en écoutant un langage complètement orthodoxe, celui que les fidèles reçoivent, à cause du langage qu’ils utilisent et comprennent, c’est quelque chose qui ne correspond pas au véritable Évangile de Jésus Christ. Avec la sainte intention de leur communiquer la vérité sur Dieu et sur l’être humain, en certaines occasions, nous leur donnons un faux dieu ou un idéal humain qui n’est pas vraiment chrétien. De cette façon, nous sommes fidèles à une formulation mais nous ne transmettons pas la substance. C’est le risque le plus grave. Rappelons-nous que « l’expression de la vérité peut avoir des formes multiples, et la rénovation des formes d’expression devient nécessaire pour transmettre à l’homme d’aujourd’hui le message évangélique dans son sens immuable ».</w:t>
      </w:r>
    </w:p>
    <w:p w:rsidR="00895BE9" w:rsidRDefault="00895BE9" w:rsidP="00895BE9">
      <w:pPr>
        <w:pStyle w:val="NormalWeb"/>
      </w:pPr>
      <w:r>
        <w:t xml:space="preserve">43. Dans son constant discernement, l’Église peut aussi arriver à reconnaître des usages propres qui ne sont pas directement liés au cœur de l’Évangile. Aujourd’hui, certains usages, très enracinés dans le cours de l’histoire, ne sont plus désormais interprétés de la même façon et leur message n’est pas habituellement perçu convenablement. Ils peuvent être beaux, cependant maintenant ils ne rendent pas le même service pour la transmission de l’Évangile. N’ayons pas peur de les revoir. De la même façon, il y a des normes ou des préceptes ecclésiaux qui peuvent avoir été très efficaces à d’autres époques, mais qui n’ont plus la même force éducative comme canaux de vie. Saint Thomas </w:t>
      </w:r>
      <w:proofErr w:type="gramStart"/>
      <w:r>
        <w:t>d’Aquin</w:t>
      </w:r>
      <w:proofErr w:type="gramEnd"/>
      <w:r>
        <w:t xml:space="preserve"> soulignait que les préceptes donnés par le Christ et par les Apôtres au Peuple de Dieu « sont très peu nombreux ». Citant saint Augustin, il notait qu’on doit exiger avec modération les préceptes ajoutés par l’Église postérieurement « pour ne pas alourdir la vie aux fidèles » et transformer notre religion en un esclavage, quand « la miséricorde de Dieu a voulu qu’elle fût libre ». Cet avertissement, fait il y a plusieurs siècles, a une terrible actualité. Il devrait être un des critères à considérer au moment de penser une réforme de l’Église et de sa prédication qui permette réellement de parvenir à tous.</w:t>
      </w:r>
    </w:p>
    <w:p w:rsidR="00895BE9" w:rsidRDefault="00895BE9" w:rsidP="00895BE9">
      <w:pPr>
        <w:pStyle w:val="NormalWeb"/>
      </w:pPr>
      <w:r>
        <w:t>45. Nous voyons ainsi que l’engagement évangélisateur se situe dans les limites du langage et des circonstances. Il cherche toujours à mieux communiquer la vérité de l’Évangile dans un contexte déterminé, sans renoncer à la vérité, au bien et à la lumière qu’il peut apporter quand la perfection n’est pas possible. Un cœur missionnaire est conscient de ces limites et se fait « faible avec les faibles […] tout à tous » (</w:t>
      </w:r>
      <w:r>
        <w:rPr>
          <w:i/>
          <w:iCs/>
        </w:rPr>
        <w:t>1Co</w:t>
      </w:r>
      <w:r>
        <w:t xml:space="preserve"> 9, 22). Jamais il ne se ferme, jamais il ne se replie sur ses propres sécurités, jamais il n’opte pour la rigidité auto-défensive. Il sait que lui-même doit croître dans la compréhension de l’Évangile et dans le discernement des sentiers de l’Esprit, et alors, il ne renonce pas au bien possible, même s’il court le risque de se salir avec la boue de la route.</w:t>
      </w:r>
    </w:p>
    <w:p w:rsidR="00E30A0D" w:rsidRDefault="00E30A0D" w:rsidP="00E30A0D">
      <w:pPr>
        <w:pStyle w:val="NormalWeb"/>
        <w:jc w:val="center"/>
        <w:rPr>
          <w:b/>
          <w:sz w:val="28"/>
          <w:szCs w:val="28"/>
        </w:rPr>
      </w:pPr>
    </w:p>
    <w:p w:rsidR="00E30A0D" w:rsidRDefault="00E30A0D" w:rsidP="00E30A0D">
      <w:pPr>
        <w:pStyle w:val="NormalWeb"/>
        <w:jc w:val="center"/>
        <w:rPr>
          <w:b/>
          <w:sz w:val="28"/>
          <w:szCs w:val="28"/>
        </w:rPr>
      </w:pPr>
    </w:p>
    <w:p w:rsidR="00E30A0D" w:rsidRDefault="00E30A0D" w:rsidP="00E30A0D">
      <w:pPr>
        <w:pStyle w:val="NormalWeb"/>
        <w:jc w:val="center"/>
        <w:rPr>
          <w:b/>
          <w:sz w:val="28"/>
          <w:szCs w:val="28"/>
        </w:rPr>
      </w:pPr>
    </w:p>
    <w:p w:rsidR="00E30A0D" w:rsidRPr="00E30A0D" w:rsidRDefault="00E30A0D" w:rsidP="00E30A0D">
      <w:pPr>
        <w:pStyle w:val="NormalWeb"/>
        <w:jc w:val="center"/>
        <w:rPr>
          <w:b/>
          <w:sz w:val="28"/>
          <w:szCs w:val="28"/>
        </w:rPr>
      </w:pPr>
      <w:r w:rsidRPr="00E30A0D">
        <w:rPr>
          <w:b/>
          <w:sz w:val="28"/>
          <w:szCs w:val="28"/>
        </w:rPr>
        <w:t>La joie et l’allégresse</w:t>
      </w:r>
    </w:p>
    <w:p w:rsidR="0026005F" w:rsidRPr="00E30A0D" w:rsidRDefault="00E30A0D" w:rsidP="0026005F">
      <w:pPr>
        <w:pStyle w:val="NormalWeb"/>
        <w:rPr>
          <w:b/>
          <w:bCs/>
        </w:rPr>
      </w:pPr>
      <w:r>
        <w:rPr>
          <w:b/>
          <w:bCs/>
        </w:rPr>
        <w:t xml:space="preserve">           </w:t>
      </w:r>
      <w:r w:rsidR="0026005F">
        <w:rPr>
          <w:b/>
          <w:bCs/>
        </w:rPr>
        <w:t>Joie et sens de l’humour</w:t>
      </w:r>
    </w:p>
    <w:p w:rsidR="0026005F" w:rsidRDefault="0026005F" w:rsidP="0026005F">
      <w:pPr>
        <w:pStyle w:val="NormalWeb"/>
      </w:pPr>
      <w:bookmarkStart w:id="0" w:name="122"/>
      <w:r>
        <w:t>122</w:t>
      </w:r>
      <w:bookmarkEnd w:id="0"/>
      <w:r>
        <w:t>. Ce qui a été dit jusqu’à présent n’implique pas un esprit inhibé, triste, aigri, mélancolique ou un profil bas amorphe. Le saint est capable de vivre joyeux et avec le sens de l’humour. Sans perdre le réalisme, il éclaire les autres avec un esprit positif et rempli d’espérance. Être chrétien est « joie dans l’Esprit Saint » (</w:t>
      </w:r>
      <w:proofErr w:type="spellStart"/>
      <w:r>
        <w:rPr>
          <w:i/>
          <w:iCs/>
        </w:rPr>
        <w:t>Rm</w:t>
      </w:r>
      <w:proofErr w:type="spellEnd"/>
      <w:r>
        <w:t xml:space="preserve"> 14, 17), parce que « l’amour de charité entraîne nécessairement la joie. Toujours celui qui aime se réjouit d’être uni à l’aimé […]. C’est pourquoi la joie est conséquence de la charité ». Nous avons reçu la merveille de sa Parole et nous l’embrassons « parmi bien des tribulations, avec la joie de l’Esprit Saint » (</w:t>
      </w:r>
      <w:r>
        <w:rPr>
          <w:i/>
          <w:iCs/>
        </w:rPr>
        <w:t>1 Th</w:t>
      </w:r>
      <w:r>
        <w:t xml:space="preserve"> 1, 6). Si nous laissons le Seigneur nous sortir de notre carapace et nous changer la vie, alors nous pourrons réaliser ce que demandait saint Paul : « Réjouissez-vous sans cesse dans le Seigneur, je le dis encore, réjouissez-vous » (</w:t>
      </w:r>
      <w:r>
        <w:rPr>
          <w:i/>
          <w:iCs/>
        </w:rPr>
        <w:t>Ph</w:t>
      </w:r>
      <w:r>
        <w:t xml:space="preserve"> 4, 4).</w:t>
      </w:r>
    </w:p>
    <w:p w:rsidR="0026005F" w:rsidRDefault="0026005F" w:rsidP="0026005F">
      <w:pPr>
        <w:pStyle w:val="NormalWeb"/>
      </w:pPr>
      <w:bookmarkStart w:id="1" w:name="126"/>
      <w:r>
        <w:t>126</w:t>
      </w:r>
      <w:bookmarkEnd w:id="1"/>
      <w:r>
        <w:t>. Ordinairement, la joie chrétienne est accompagnée du sens de l’humour, si remarquable, par exemple, chez saint Thomas More, chez saint Vincent de Paul ou chez saint Philippe Néri. La mauvaise humeur n’est pas un signe de sainteté : « Eloigne de ton cœur le chagrin » (</w:t>
      </w:r>
      <w:proofErr w:type="spellStart"/>
      <w:r>
        <w:rPr>
          <w:i/>
          <w:iCs/>
        </w:rPr>
        <w:t>Qo</w:t>
      </w:r>
      <w:proofErr w:type="spellEnd"/>
      <w:r>
        <w:t xml:space="preserve"> 11, 10). Ce que nous recevons du Seigneur « afin d’en jouir » (</w:t>
      </w:r>
      <w:r>
        <w:rPr>
          <w:i/>
          <w:iCs/>
        </w:rPr>
        <w:t>1 Tm</w:t>
      </w:r>
      <w:r>
        <w:t xml:space="preserve"> 6, 17) est tel que parfois la tristesse frise l’ingratitude de notre part, frise le repli sur nous-mêmes au point que nous sommes incapables de reconnaître les dons de Dieu</w:t>
      </w:r>
      <w:bookmarkStart w:id="2" w:name="_GoBack"/>
      <w:bookmarkEnd w:id="2"/>
      <w:r>
        <w:t>.</w:t>
      </w:r>
    </w:p>
    <w:p w:rsidR="0026005F" w:rsidRDefault="0026005F" w:rsidP="0026005F">
      <w:pPr>
        <w:pStyle w:val="NormalWeb"/>
      </w:pPr>
      <w:bookmarkStart w:id="3" w:name="127"/>
      <w:r>
        <w:t>127</w:t>
      </w:r>
      <w:bookmarkEnd w:id="3"/>
      <w:r>
        <w:t>. Son amour paternel nous invite : « Mon fils, traite-toi bien […]. Ne te refuse pas le bonheur présent » (</w:t>
      </w:r>
      <w:r>
        <w:rPr>
          <w:i/>
          <w:iCs/>
        </w:rPr>
        <w:t>Si</w:t>
      </w:r>
      <w:r>
        <w:t xml:space="preserve"> 14, 11.14). Il nous veut positifs, reconnaissants et pas trop compliqués : « Au jour du bonheur, sois heureux […]. Dieu a fait l’homme tout droit, et lui, cherche bien des calculs » (</w:t>
      </w:r>
      <w:proofErr w:type="spellStart"/>
      <w:r>
        <w:rPr>
          <w:i/>
          <w:iCs/>
        </w:rPr>
        <w:t>Qo</w:t>
      </w:r>
      <w:proofErr w:type="spellEnd"/>
      <w:r>
        <w:t xml:space="preserve"> 7, 14.29). En toute circonstance, il faut garder un esprit souple, et faire comme saint Paul : « J’ai appris en effet à me suffire en toute occasion » (</w:t>
      </w:r>
      <w:r>
        <w:rPr>
          <w:i/>
          <w:iCs/>
        </w:rPr>
        <w:t>Ph</w:t>
      </w:r>
      <w:r>
        <w:t xml:space="preserve"> 4, 11). C’est ce que vivait saint François d’Assise, capable d’être ému de gratitude devant un morceau de pain dur, ou bien, heureux de louer Dieu uniquement pour la brise qui caressait son visage.</w:t>
      </w:r>
    </w:p>
    <w:p w:rsidR="0026005F" w:rsidRDefault="0026005F" w:rsidP="0026005F">
      <w:pPr>
        <w:pStyle w:val="NormalWeb"/>
      </w:pPr>
      <w:r>
        <w:rPr>
          <w:b/>
          <w:bCs/>
        </w:rPr>
        <w:t xml:space="preserve">Audace et ferveur </w:t>
      </w:r>
    </w:p>
    <w:p w:rsidR="0026005F" w:rsidRDefault="0026005F" w:rsidP="0026005F">
      <w:pPr>
        <w:pStyle w:val="NormalWeb"/>
      </w:pPr>
      <w:bookmarkStart w:id="4" w:name="129"/>
      <w:r>
        <w:t>129</w:t>
      </w:r>
      <w:bookmarkEnd w:id="4"/>
      <w:r>
        <w:t xml:space="preserve">. En même temps, la sainteté est </w:t>
      </w:r>
      <w:proofErr w:type="spellStart"/>
      <w:r>
        <w:t>parresía</w:t>
      </w:r>
      <w:proofErr w:type="spellEnd"/>
      <w:r>
        <w:t xml:space="preserve"> : elle est audace, elle est une incitation à l’évangélisation qui laisse une marque dans ce monde. Pour que cela soit possible, Jésus lui-même vient à notre rencontre et nous répète avec sérénité et fermeté : « Soyez sans crainte » (</w:t>
      </w:r>
      <w:r>
        <w:rPr>
          <w:i/>
          <w:iCs/>
        </w:rPr>
        <w:t>Mc</w:t>
      </w:r>
      <w:r>
        <w:t xml:space="preserve"> 6, 50). « Et voici que je suis avec vous pour toujours jusqu’à la fin du monde » (</w:t>
      </w:r>
      <w:r>
        <w:rPr>
          <w:i/>
          <w:iCs/>
        </w:rPr>
        <w:t>Mt</w:t>
      </w:r>
      <w:r>
        <w:t xml:space="preserve"> 28, 20). Ces paroles nous permettent de marcher et de servir dans cette attitude pleine de courage que suscitait l’Esprit Saint chez les Apôtres et qui les conduisait à annoncer Jésus-Christ. Audace, enthousiasme, parler en toute liberté, ferveur apostolique, tout cela est compris dans le vocable </w:t>
      </w:r>
      <w:proofErr w:type="spellStart"/>
      <w:r>
        <w:t>parresía</w:t>
      </w:r>
      <w:proofErr w:type="spellEnd"/>
      <w:r>
        <w:t xml:space="preserve">, terme par lequel la Bible désigne également la liberté d’une existence qui est ouverte, parce qu’elle se trouve disponible à Dieu et aux autres (cf. </w:t>
      </w:r>
      <w:proofErr w:type="spellStart"/>
      <w:r>
        <w:rPr>
          <w:i/>
          <w:iCs/>
        </w:rPr>
        <w:t>Ac</w:t>
      </w:r>
      <w:proofErr w:type="spellEnd"/>
      <w:r>
        <w:t xml:space="preserve"> 4, 29 ; 9, 28 ; 28, 31 ; 2 Co 3, 12 ; </w:t>
      </w:r>
      <w:proofErr w:type="spellStart"/>
      <w:r>
        <w:rPr>
          <w:i/>
          <w:iCs/>
        </w:rPr>
        <w:t>Ep</w:t>
      </w:r>
      <w:proofErr w:type="spellEnd"/>
      <w:r>
        <w:t xml:space="preserve"> 3, 12 ; </w:t>
      </w:r>
      <w:r>
        <w:rPr>
          <w:i/>
          <w:iCs/>
        </w:rPr>
        <w:t>He</w:t>
      </w:r>
      <w:r>
        <w:t xml:space="preserve"> 3, 6 ; 10, 19).</w:t>
      </w:r>
    </w:p>
    <w:p w:rsidR="002A79D1" w:rsidRDefault="002A79D1" w:rsidP="00895BE9">
      <w:pPr>
        <w:pStyle w:val="NormalWeb"/>
      </w:pPr>
    </w:p>
    <w:p w:rsidR="003755DD" w:rsidRDefault="004F4198"/>
    <w:sectPr w:rsidR="0037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5CA3"/>
    <w:multiLevelType w:val="hybridMultilevel"/>
    <w:tmpl w:val="21447A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5B0DEE"/>
    <w:multiLevelType w:val="hybridMultilevel"/>
    <w:tmpl w:val="0B785AAC"/>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E03704-8F50-4608-8EC9-D70AA0557F4A}"/>
    <w:docVar w:name="dgnword-eventsink" w:val="115687000"/>
  </w:docVars>
  <w:rsids>
    <w:rsidRoot w:val="00895BE9"/>
    <w:rsid w:val="0026005F"/>
    <w:rsid w:val="002A79D1"/>
    <w:rsid w:val="004F4198"/>
    <w:rsid w:val="00895BE9"/>
    <w:rsid w:val="00A02DC4"/>
    <w:rsid w:val="00E30A0D"/>
    <w:rsid w:val="00F04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5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5B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5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5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7932">
      <w:bodyDiv w:val="1"/>
      <w:marLeft w:val="0"/>
      <w:marRight w:val="0"/>
      <w:marTop w:val="0"/>
      <w:marBottom w:val="0"/>
      <w:divBdr>
        <w:top w:val="none" w:sz="0" w:space="0" w:color="auto"/>
        <w:left w:val="none" w:sz="0" w:space="0" w:color="auto"/>
        <w:bottom w:val="none" w:sz="0" w:space="0" w:color="auto"/>
        <w:right w:val="none" w:sz="0" w:space="0" w:color="auto"/>
      </w:divBdr>
    </w:div>
    <w:div w:id="935093218">
      <w:bodyDiv w:val="1"/>
      <w:marLeft w:val="0"/>
      <w:marRight w:val="0"/>
      <w:marTop w:val="0"/>
      <w:marBottom w:val="0"/>
      <w:divBdr>
        <w:top w:val="none" w:sz="0" w:space="0" w:color="auto"/>
        <w:left w:val="none" w:sz="0" w:space="0" w:color="auto"/>
        <w:bottom w:val="none" w:sz="0" w:space="0" w:color="auto"/>
        <w:right w:val="none" w:sz="0" w:space="0" w:color="auto"/>
      </w:divBdr>
    </w:div>
    <w:div w:id="21453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5371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Burtz</dc:creator>
  <cp:lastModifiedBy>Anne Burtz</cp:lastModifiedBy>
  <cp:revision>3</cp:revision>
  <cp:lastPrinted>2018-09-06T12:14:00Z</cp:lastPrinted>
  <dcterms:created xsi:type="dcterms:W3CDTF">2018-09-06T12:20:00Z</dcterms:created>
  <dcterms:modified xsi:type="dcterms:W3CDTF">2018-09-06T13:33:00Z</dcterms:modified>
</cp:coreProperties>
</file>